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R4-2522036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81DF98" w:rsidR="00F25D98" w:rsidRDefault="00A61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(IoT_NTN_TDD-Perf) </w:t>
            </w:r>
            <w:proofErr w:type="gramStart"/>
            <w:r>
              <w:t>CR  on</w:t>
            </w:r>
            <w:proofErr w:type="gramEnd"/>
            <w:r>
              <w:t xml:space="preserve"> removing support for segmented precompensation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9B775D" w:rsidR="001E41F3" w:rsidRDefault="00A61A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IoT_NTN_TDD-Core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ACE" w:rsidRDefault="00A61ACE" w:rsidP="00A6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43E5DB" w:rsidR="00A61ACE" w:rsidRDefault="00A61ACE" w:rsidP="00A61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received communication from RAN1 (</w:t>
            </w:r>
            <w:r w:rsidRPr="00CD6F77">
              <w:rPr>
                <w:noProof/>
              </w:rPr>
              <w:t>R1-2508064</w:t>
            </w:r>
            <w:r>
              <w:rPr>
                <w:noProof/>
              </w:rPr>
              <w:t>) indicating updated agreements related to segmented pre-compensation that requires RAN4 to update its requirements</w:t>
            </w:r>
          </w:p>
        </w:tc>
      </w:tr>
      <w:tr w:rsidR="00A61A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1ACE" w:rsidRDefault="00A61ACE" w:rsidP="00A61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ACE" w:rsidRDefault="00A61ACE" w:rsidP="00A61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A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ACE" w:rsidRDefault="00A61ACE" w:rsidP="00A6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D5D581" w:rsidR="00A61ACE" w:rsidRDefault="00A61ACE" w:rsidP="00A61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requiremetns to be in line with </w:t>
            </w:r>
            <w:r w:rsidRPr="00CD6F77">
              <w:rPr>
                <w:noProof/>
              </w:rPr>
              <w:t>R1-2508064</w:t>
            </w:r>
          </w:p>
        </w:tc>
      </w:tr>
      <w:tr w:rsidR="00A61A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ACE" w:rsidRDefault="00A61ACE" w:rsidP="00A61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ACE" w:rsidRDefault="00A61ACE" w:rsidP="00A61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A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ACE" w:rsidRDefault="00A61ACE" w:rsidP="00A6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C92A0" w:rsidR="00A61ACE" w:rsidRDefault="00A61ACE" w:rsidP="00A61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misaligned with TS 36.213</w:t>
            </w:r>
          </w:p>
        </w:tc>
      </w:tr>
      <w:tr w:rsidR="00A61ACE" w14:paraId="034AF533" w14:textId="77777777" w:rsidTr="00547111">
        <w:tc>
          <w:tcPr>
            <w:tcW w:w="2694" w:type="dxa"/>
            <w:gridSpan w:val="2"/>
          </w:tcPr>
          <w:p w14:paraId="39D9EB5B" w14:textId="77777777" w:rsidR="00A61ACE" w:rsidRDefault="00A61ACE" w:rsidP="00A61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1ACE" w:rsidRDefault="00A61ACE" w:rsidP="00A61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A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1ACE" w:rsidRDefault="00A61ACE" w:rsidP="00A6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A6459" w:rsidR="00A61ACE" w:rsidRDefault="00A61ACE" w:rsidP="00A61ACE">
            <w:pPr>
              <w:pStyle w:val="CRCoverPage"/>
              <w:spacing w:after="0"/>
              <w:ind w:left="100"/>
              <w:rPr>
                <w:noProof/>
              </w:rPr>
            </w:pPr>
            <w:r w:rsidRPr="008F5735">
              <w:rPr>
                <w:noProof/>
              </w:rPr>
              <w:t>6.4B.1</w:t>
            </w:r>
          </w:p>
        </w:tc>
      </w:tr>
      <w:tr w:rsidR="00A61A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1ACE" w:rsidRDefault="00A61ACE" w:rsidP="00A61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1ACE" w:rsidRDefault="00A61ACE" w:rsidP="00A61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A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1ACE" w:rsidRDefault="00A61ACE" w:rsidP="00A6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1ACE" w:rsidRDefault="00A61ACE" w:rsidP="00A6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1ACE" w:rsidRDefault="00A61ACE" w:rsidP="00A6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1ACE" w:rsidRDefault="00A61ACE" w:rsidP="00A61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1ACE" w:rsidRDefault="00A61ACE" w:rsidP="00A61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1A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1ACE" w:rsidRDefault="00A61ACE" w:rsidP="00A6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1ACE" w:rsidRDefault="00A61ACE" w:rsidP="00A6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59A124" w:rsidR="00A61ACE" w:rsidRDefault="00A61ACE" w:rsidP="00A6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1ACE" w:rsidRDefault="00A61ACE" w:rsidP="00A61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1ACE" w:rsidRDefault="00A61ACE" w:rsidP="00A6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1A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1ACE" w:rsidRDefault="00A61ACE" w:rsidP="00A6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1ACE" w:rsidRDefault="00A61ACE" w:rsidP="00A6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7A895" w:rsidR="00A61ACE" w:rsidRDefault="00A61ACE" w:rsidP="00A6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1ACE" w:rsidRDefault="00A61ACE" w:rsidP="00A6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1ACE" w:rsidRDefault="00A61ACE" w:rsidP="00A6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1A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1ACE" w:rsidRDefault="00A61ACE" w:rsidP="00A61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1ACE" w:rsidRDefault="00A61ACE" w:rsidP="00A6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5B5968" w:rsidR="00A61ACE" w:rsidRDefault="00A61ACE" w:rsidP="00A61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1ACE" w:rsidRDefault="00A61ACE" w:rsidP="00A61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1ACE" w:rsidRDefault="00A61ACE" w:rsidP="00A61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1A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1ACE" w:rsidRDefault="00A61ACE" w:rsidP="00A61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1ACE" w:rsidRDefault="00A61ACE" w:rsidP="00A61ACE">
            <w:pPr>
              <w:pStyle w:val="CRCoverPage"/>
              <w:spacing w:after="0"/>
              <w:rPr>
                <w:noProof/>
              </w:rPr>
            </w:pPr>
          </w:p>
        </w:tc>
      </w:tr>
      <w:tr w:rsidR="00A61A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1ACE" w:rsidRDefault="00A61ACE" w:rsidP="00A6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1ACE" w:rsidRDefault="00A61ACE" w:rsidP="00A61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1A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1ACE" w:rsidRPr="008863B9" w:rsidRDefault="00A61ACE" w:rsidP="00A6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1ACE" w:rsidRPr="008863B9" w:rsidRDefault="00A61ACE" w:rsidP="00A61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1A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1ACE" w:rsidRDefault="00A61ACE" w:rsidP="00A61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1ACE" w:rsidRDefault="00A61ACE" w:rsidP="00A61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354575E" w14:textId="77777777" w:rsidR="00A61ACE" w:rsidRPr="00BF36AB" w:rsidRDefault="00A61ACE" w:rsidP="00A61AC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20570050"/>
      <w:bookmarkStart w:id="2" w:name="_Toc121162842"/>
      <w:bookmarkStart w:id="3" w:name="_Toc121827723"/>
      <w:bookmarkStart w:id="4" w:name="_Toc124177551"/>
      <w:bookmarkStart w:id="5" w:name="_Toc124177978"/>
      <w:bookmarkStart w:id="6" w:name="_Toc130826105"/>
      <w:bookmarkStart w:id="7" w:name="_Toc137386382"/>
      <w:bookmarkStart w:id="8" w:name="_Toc137401262"/>
      <w:bookmarkStart w:id="9" w:name="_Toc138894786"/>
      <w:bookmarkStart w:id="10" w:name="_Toc145029497"/>
      <w:bookmarkStart w:id="11" w:name="_Toc153136044"/>
      <w:bookmarkStart w:id="12" w:name="_Toc153138238"/>
      <w:bookmarkStart w:id="13" w:name="_Toc161928653"/>
      <w:bookmarkStart w:id="14" w:name="_Toc163213875"/>
      <w:bookmarkStart w:id="15" w:name="_Toc184373618"/>
      <w:bookmarkStart w:id="16" w:name="_Toc187272695"/>
      <w:bookmarkStart w:id="17" w:name="_Toc187272896"/>
      <w:bookmarkStart w:id="18" w:name="_Toc208677810"/>
      <w:r w:rsidRPr="00BF36AB">
        <w:rPr>
          <w:rFonts w:ascii="Arial" w:hAnsi="Arial"/>
          <w:sz w:val="28"/>
        </w:rPr>
        <w:t>6.4B.1</w:t>
      </w:r>
      <w:r w:rsidRPr="00BF36AB">
        <w:rPr>
          <w:rFonts w:ascii="Arial" w:hAnsi="Arial"/>
          <w:sz w:val="28"/>
        </w:rPr>
        <w:tab/>
        <w:t>Frequency error for UE category NB1 and NB2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5A89759" w14:textId="77777777" w:rsidR="00A61ACE" w:rsidRPr="00BF36AB" w:rsidRDefault="00A61ACE" w:rsidP="00A61ACE">
      <w:r w:rsidRPr="00BF36AB"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BF36AB">
        <w:rPr>
          <w:i/>
          <w:iCs/>
        </w:rPr>
        <w:t>EphemerisInfo</w:t>
      </w:r>
      <w:proofErr w:type="spellEnd"/>
      <w:r w:rsidRPr="00BF36AB">
        <w:t xml:space="preserve"> (TS 36.331 [6]), its own location and UL carrier frequency signalled to the UE by the SAN (according to TS36.300 [8] clause 23.21.2.2).</w:t>
      </w:r>
    </w:p>
    <w:p w14:paraId="0FC3283F" w14:textId="77777777" w:rsidR="00A61ACE" w:rsidRPr="00BF36AB" w:rsidRDefault="00A61ACE" w:rsidP="00A61ACE">
      <w:r w:rsidRPr="00BF36AB">
        <w:t xml:space="preserve">The UE pre-compensated modulated carrier frequency shall be accurate to within the limits in Table 6.4B.1-1, observed over a period of one time slot (0.5 </w:t>
      </w:r>
      <w:proofErr w:type="spellStart"/>
      <w:r w:rsidRPr="00BF36AB">
        <w:t>ms</w:t>
      </w:r>
      <w:proofErr w:type="spellEnd"/>
      <w:r w:rsidRPr="00BF36AB">
        <w:t xml:space="preserve"> for 15 kHz sub-carrier spacing and 2 </w:t>
      </w:r>
      <w:proofErr w:type="spellStart"/>
      <w:r w:rsidRPr="00BF36AB">
        <w:t>ms</w:t>
      </w:r>
      <w:proofErr w:type="spellEnd"/>
      <w:r w:rsidRPr="00BF36AB">
        <w:t xml:space="preserve"> excluding the 2304Ts gap for 3.75 kHz sub-carrier spacing) and averaged over 72/</w:t>
      </w:r>
      <w:proofErr w:type="spellStart"/>
      <w:r w:rsidRPr="00BF36AB">
        <w:t>L</w:t>
      </w:r>
      <w:r w:rsidRPr="00BF36AB">
        <w:rPr>
          <w:vertAlign w:val="subscript"/>
        </w:rPr>
        <w:t>Ctone</w:t>
      </w:r>
      <w:proofErr w:type="spellEnd"/>
      <w:r w:rsidRPr="00BF36AB">
        <w:t xml:space="preserve"> slots (where </w:t>
      </w:r>
      <w:proofErr w:type="spellStart"/>
      <w:r w:rsidRPr="00BF36AB">
        <w:t>L</w:t>
      </w:r>
      <w:r w:rsidRPr="00BF36AB">
        <w:rPr>
          <w:vertAlign w:val="subscript"/>
        </w:rPr>
        <w:t>Ctone</w:t>
      </w:r>
      <w:proofErr w:type="spellEnd"/>
      <w:r w:rsidRPr="00BF36AB">
        <w:t xml:space="preserve"> = {1, 3, 6, 12} is the number of sub-carriers used for the transmission), compared to the ideally pre-compensated reference uplink carrier frequency.</w:t>
      </w:r>
    </w:p>
    <w:p w14:paraId="4CEBB67A" w14:textId="77777777" w:rsidR="00A61ACE" w:rsidRPr="00BF36AB" w:rsidRDefault="00A61ACE" w:rsidP="00A61ACE">
      <w:r w:rsidRPr="00BF36AB">
        <w:t>When a repetition period is configured on the uplink for which repetition period (R) &gt;1, the UE shall not change Doppler pre-compensation during an ongoing repetition period, except in the transmission gaps as defined in clause 10.1.3.6 of TS 36.211[3] or except for band 249 in which UE is allowed to perform pre-compensation at the beginning of the uplink burst of 8 consecutive transmitted subframes, pre-compensation gap is not applicable for band 249. When segmentation is applied, then the UE shall update pre-compensation at the beginning of each segment prior to segment transmission</w:t>
      </w:r>
      <w:ins w:id="19" w:author="NOKIA (Rafhael)" w:date="2025-11-06T17:40:00Z" w16du:dateUtc="2025-11-06T16:40:00Z">
        <w:r>
          <w:t>, except for band 249 in which segmented pre-compensation is not supported.</w:t>
        </w:r>
      </w:ins>
      <w:del w:id="20" w:author="NOKIA (Rafhael)" w:date="2025-11-06T17:40:00Z" w16du:dateUtc="2025-11-06T16:40:00Z">
        <w:r w:rsidRPr="00BF36AB" w:rsidDel="00BD3C2E">
          <w:delText>.</w:delText>
        </w:r>
      </w:del>
    </w:p>
    <w:p w14:paraId="09C44C00" w14:textId="77777777" w:rsidR="00A61ACE" w:rsidRPr="00BF36AB" w:rsidRDefault="00A61ACE" w:rsidP="00A61ACE">
      <w:pPr>
        <w:keepLines/>
        <w:spacing w:after="0"/>
        <w:ind w:left="1135" w:hanging="851"/>
      </w:pPr>
      <w:r w:rsidRPr="00BF36AB">
        <w:t>[NOTE:</w:t>
      </w:r>
      <w:r w:rsidRPr="00BF36AB">
        <w:tab/>
        <w:t>The ideally pre-compensated reference uplink carrier frequency consists of the UL carrier frequency signalled to the UE by SAN and UL pre-compensated Doppler frequency shift</w:t>
      </w:r>
      <w:r w:rsidRPr="00BF36AB">
        <w:rPr>
          <w:lang w:val="en-US"/>
        </w:rPr>
        <w:t xml:space="preserve"> corresponding to the estimated Doppler frequency at the beginning of the transmission</w:t>
      </w:r>
      <w:r w:rsidRPr="00BF36AB">
        <w:t>.]</w:t>
      </w:r>
    </w:p>
    <w:p w14:paraId="4AA46222" w14:textId="77777777" w:rsidR="00A61ACE" w:rsidRPr="00BF36AB" w:rsidRDefault="00A61ACE" w:rsidP="00A61ACE"/>
    <w:p w14:paraId="1F558CCB" w14:textId="77777777" w:rsidR="00A61ACE" w:rsidRPr="00BF36AB" w:rsidRDefault="00A61ACE" w:rsidP="00A61ACE">
      <w:pPr>
        <w:keepNext/>
        <w:keepLines/>
        <w:spacing w:before="60"/>
        <w:jc w:val="center"/>
        <w:rPr>
          <w:rFonts w:ascii="Arial" w:hAnsi="Arial" w:cs="Arial"/>
          <w:b/>
          <w:lang w:val="fr-FR" w:eastAsia="fr-FR"/>
        </w:rPr>
      </w:pPr>
      <w:r w:rsidRPr="00BF36AB">
        <w:rPr>
          <w:rFonts w:ascii="Arial" w:hAnsi="Arial" w:cs="Arial"/>
          <w:b/>
          <w:snapToGrid w:val="0"/>
          <w:lang w:val="fr-FR" w:eastAsia="fr-FR"/>
        </w:rPr>
        <w:t xml:space="preserve">Table 6.4B.1-1: </w:t>
      </w:r>
      <w:r w:rsidRPr="00BF36AB">
        <w:rPr>
          <w:rFonts w:ascii="Arial" w:hAnsi="Arial" w:cs="Arial"/>
          <w:b/>
          <w:lang w:val="fr-FR" w:eastAsia="fr-FR"/>
        </w:rPr>
        <w:t xml:space="preserve">Frequency </w:t>
      </w:r>
      <w:proofErr w:type="spellStart"/>
      <w:r w:rsidRPr="00BF36AB">
        <w:rPr>
          <w:rFonts w:ascii="Arial" w:hAnsi="Arial" w:cs="Arial"/>
          <w:b/>
          <w:lang w:val="fr-FR" w:eastAsia="fr-FR"/>
        </w:rPr>
        <w:t>error</w:t>
      </w:r>
      <w:proofErr w:type="spellEnd"/>
      <w:r w:rsidRPr="00BF36AB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F36AB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F36AB">
        <w:rPr>
          <w:rFonts w:ascii="Arial" w:hAnsi="Arial" w:cs="Arial"/>
          <w:b/>
          <w:lang w:val="fr-FR" w:eastAsia="fr-FR"/>
        </w:rPr>
        <w:t xml:space="preserve"> for UE </w:t>
      </w:r>
      <w:proofErr w:type="spellStart"/>
      <w:r w:rsidRPr="00BF36AB">
        <w:rPr>
          <w:rFonts w:ascii="Arial" w:hAnsi="Arial" w:cs="Arial"/>
          <w:b/>
          <w:lang w:val="fr-FR" w:eastAsia="fr-FR"/>
        </w:rPr>
        <w:t>category</w:t>
      </w:r>
      <w:proofErr w:type="spellEnd"/>
      <w:r w:rsidRPr="00BF36AB">
        <w:rPr>
          <w:rFonts w:ascii="Arial" w:hAnsi="Arial" w:cs="Arial"/>
          <w:b/>
          <w:lang w:val="fr-FR" w:eastAsia="fr-FR"/>
        </w:rPr>
        <w:t xml:space="preserve">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A61ACE" w:rsidRPr="00BF36AB" w14:paraId="3B24C22E" w14:textId="77777777" w:rsidTr="004C3543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0470" w14:textId="77777777" w:rsidR="00A61ACE" w:rsidRPr="00BF36AB" w:rsidRDefault="00A61ACE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BF36AB">
              <w:rPr>
                <w:rFonts w:ascii="Arial" w:hAnsi="Arial" w:cs="Arial"/>
                <w:b/>
                <w:sz w:val="18"/>
                <w:lang w:val="fr-FR" w:eastAsia="ja-JP"/>
              </w:rPr>
              <w:t xml:space="preserve">Carrier </w:t>
            </w:r>
            <w:proofErr w:type="spellStart"/>
            <w:r w:rsidRPr="00BF36AB">
              <w:rPr>
                <w:rFonts w:ascii="Arial" w:hAnsi="Arial" w:cs="Arial"/>
                <w:b/>
                <w:sz w:val="18"/>
                <w:lang w:val="fr-FR" w:eastAsia="ja-JP"/>
              </w:rPr>
              <w:t>frequency</w:t>
            </w:r>
            <w:proofErr w:type="spellEnd"/>
            <w:r w:rsidRPr="00BF36AB">
              <w:rPr>
                <w:rFonts w:ascii="Arial" w:hAnsi="Arial" w:cs="Arial"/>
                <w:b/>
                <w:sz w:val="18"/>
                <w:lang w:val="fr-FR" w:eastAsia="ja-JP"/>
              </w:rPr>
              <w:t xml:space="preserve">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1B79" w14:textId="77777777" w:rsidR="00A61ACE" w:rsidRPr="00BF36AB" w:rsidRDefault="00A61ACE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BF36AB">
              <w:rPr>
                <w:rFonts w:ascii="Arial" w:hAnsi="Arial" w:cs="Arial"/>
                <w:b/>
                <w:sz w:val="18"/>
                <w:lang w:val="fr-FR" w:eastAsia="ja-JP"/>
              </w:rPr>
              <w:t xml:space="preserve">Frequency </w:t>
            </w:r>
            <w:proofErr w:type="spellStart"/>
            <w:r w:rsidRPr="00BF36AB">
              <w:rPr>
                <w:rFonts w:ascii="Arial" w:hAnsi="Arial" w:cs="Arial"/>
                <w:b/>
                <w:sz w:val="18"/>
                <w:lang w:val="fr-FR" w:eastAsia="ja-JP"/>
              </w:rPr>
              <w:t>error</w:t>
            </w:r>
            <w:proofErr w:type="spellEnd"/>
            <w:r w:rsidRPr="00BF36AB">
              <w:rPr>
                <w:rFonts w:ascii="Arial" w:hAnsi="Arial" w:cs="Arial"/>
                <w:b/>
                <w:sz w:val="18"/>
                <w:lang w:val="fr-FR" w:eastAsia="ja-JP"/>
              </w:rPr>
              <w:t xml:space="preserve"> [ppm]</w:t>
            </w:r>
          </w:p>
        </w:tc>
      </w:tr>
      <w:tr w:rsidR="00A61ACE" w:rsidRPr="00BF36AB" w14:paraId="77308A43" w14:textId="77777777" w:rsidTr="004C3543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34A8" w14:textId="77777777" w:rsidR="00A61ACE" w:rsidRPr="00BF36AB" w:rsidRDefault="00A61ACE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BF36AB">
              <w:rPr>
                <w:rFonts w:ascii="Arial" w:hAnsi="Arial" w:cs="Arial"/>
                <w:sz w:val="18"/>
                <w:lang w:val="fr-FR"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D19F" w14:textId="77777777" w:rsidR="00A61ACE" w:rsidRPr="00BF36AB" w:rsidRDefault="00A61ACE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BF36AB">
              <w:rPr>
                <w:rFonts w:ascii="Arial" w:hAnsi="Arial" w:cs="Arial"/>
                <w:sz w:val="18"/>
                <w:lang w:val="fr-FR" w:eastAsia="zh-CN"/>
              </w:rPr>
              <w:t>±0.2</w:t>
            </w:r>
          </w:p>
        </w:tc>
      </w:tr>
      <w:tr w:rsidR="00A61ACE" w:rsidRPr="00BF36AB" w14:paraId="78DA4467" w14:textId="77777777" w:rsidTr="004C3543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33D0" w14:textId="77777777" w:rsidR="00A61ACE" w:rsidRPr="00BF36AB" w:rsidRDefault="00A61ACE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BF36AB">
              <w:rPr>
                <w:rFonts w:ascii="Arial" w:hAnsi="Arial" w:cs="Arial"/>
                <w:sz w:val="18"/>
                <w:lang w:val="fr-FR"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75A0" w14:textId="77777777" w:rsidR="00A61ACE" w:rsidRPr="00BF36AB" w:rsidRDefault="00A61ACE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ja-JP"/>
              </w:rPr>
            </w:pPr>
            <w:r w:rsidRPr="00BF36AB">
              <w:rPr>
                <w:rFonts w:ascii="Arial" w:hAnsi="Arial" w:cs="Arial"/>
                <w:sz w:val="18"/>
                <w:lang w:val="fr-FR" w:eastAsia="zh-CN"/>
              </w:rPr>
              <w:t>±0.1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Rafhael)">
    <w15:presenceInfo w15:providerId="None" w15:userId="NOKIA (Rafha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0E17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AC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(Rafhael)</cp:lastModifiedBy>
  <cp:revision>6</cp:revision>
  <cp:lastPrinted>1899-12-31T23:00:00Z</cp:lastPrinted>
  <dcterms:created xsi:type="dcterms:W3CDTF">2025-10-24T13:14:00Z</dcterms:created>
  <dcterms:modified xsi:type="dcterms:W3CDTF">2025-11-07T16:39:00Z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R4-2522036</vt:lpwstr>
  </property>
  <property fmtid="{D5CDD505-2E9C-101B-9397-08002B2CF9AE}" pid="10" name="Spec#">
    <vt:lpwstr>36.102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(IoT_NTN_TDD-Perf) CR  on removing support for segmented precompensation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IoT_NTN_TDD-Core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